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BEBC0" w14:textId="77777777" w:rsidR="009A0A6F" w:rsidRPr="00A25733" w:rsidRDefault="009A0A6F" w:rsidP="009A0A6F">
      <w:pPr>
        <w:pStyle w:val="Heading1"/>
        <w:jc w:val="both"/>
        <w:rPr>
          <w:color w:val="C00000"/>
        </w:rPr>
      </w:pPr>
      <w:r w:rsidRPr="00A25733">
        <w:rPr>
          <w:color w:val="C00000"/>
        </w:rPr>
        <w:t>SAWA (</w:t>
      </w:r>
      <w:proofErr w:type="spellStart"/>
      <w:r w:rsidRPr="00A25733">
        <w:rPr>
          <w:color w:val="C00000"/>
        </w:rPr>
        <w:t>Servisom</w:t>
      </w:r>
      <w:proofErr w:type="spellEnd"/>
      <w:r w:rsidRPr="00A25733">
        <w:rPr>
          <w:color w:val="C00000"/>
        </w:rPr>
        <w:t xml:space="preserve"> </w:t>
      </w:r>
      <w:proofErr w:type="spellStart"/>
      <w:r w:rsidRPr="00A25733">
        <w:rPr>
          <w:color w:val="C00000"/>
        </w:rPr>
        <w:t>aktivovaná</w:t>
      </w:r>
      <w:proofErr w:type="spellEnd"/>
      <w:r w:rsidRPr="00A25733">
        <w:rPr>
          <w:color w:val="C00000"/>
        </w:rPr>
        <w:t xml:space="preserve"> </w:t>
      </w:r>
      <w:proofErr w:type="spellStart"/>
      <w:r w:rsidRPr="00A25733">
        <w:rPr>
          <w:color w:val="C00000"/>
        </w:rPr>
        <w:t>predĺžená</w:t>
      </w:r>
      <w:proofErr w:type="spellEnd"/>
      <w:r w:rsidRPr="00A25733">
        <w:rPr>
          <w:color w:val="C00000"/>
        </w:rPr>
        <w:t xml:space="preserve"> </w:t>
      </w:r>
      <w:proofErr w:type="spellStart"/>
      <w:r w:rsidRPr="00A25733">
        <w:rPr>
          <w:color w:val="C00000"/>
        </w:rPr>
        <w:t>záruka</w:t>
      </w:r>
      <w:proofErr w:type="spellEnd"/>
      <w:r w:rsidRPr="00A25733">
        <w:rPr>
          <w:color w:val="C00000"/>
        </w:rPr>
        <w:t xml:space="preserve">) – </w:t>
      </w:r>
      <w:proofErr w:type="spellStart"/>
      <w:r w:rsidRPr="00A25733">
        <w:rPr>
          <w:color w:val="C00000"/>
        </w:rPr>
        <w:t>predĺženie</w:t>
      </w:r>
      <w:proofErr w:type="spellEnd"/>
      <w:r w:rsidRPr="00A25733">
        <w:rPr>
          <w:color w:val="C00000"/>
        </w:rPr>
        <w:t xml:space="preserve"> </w:t>
      </w:r>
      <w:proofErr w:type="spellStart"/>
      <w:r w:rsidRPr="00A25733">
        <w:rPr>
          <w:color w:val="C00000"/>
        </w:rPr>
        <w:t>záruky</w:t>
      </w:r>
      <w:proofErr w:type="spellEnd"/>
      <w:r w:rsidRPr="00A25733">
        <w:rPr>
          <w:color w:val="C00000"/>
        </w:rPr>
        <w:t xml:space="preserve"> </w:t>
      </w:r>
      <w:proofErr w:type="spellStart"/>
      <w:r w:rsidRPr="00A25733">
        <w:rPr>
          <w:color w:val="C00000"/>
        </w:rPr>
        <w:t>nad</w:t>
      </w:r>
      <w:proofErr w:type="spellEnd"/>
      <w:r w:rsidRPr="00A25733">
        <w:rPr>
          <w:color w:val="C00000"/>
        </w:rPr>
        <w:t xml:space="preserve"> </w:t>
      </w:r>
      <w:proofErr w:type="spellStart"/>
      <w:r w:rsidRPr="00A25733">
        <w:rPr>
          <w:color w:val="C00000"/>
        </w:rPr>
        <w:t>rozsah</w:t>
      </w:r>
      <w:proofErr w:type="spellEnd"/>
      <w:r w:rsidRPr="00A25733">
        <w:rPr>
          <w:color w:val="C00000"/>
        </w:rPr>
        <w:t xml:space="preserve"> </w:t>
      </w:r>
      <w:proofErr w:type="spellStart"/>
      <w:r w:rsidRPr="00A25733">
        <w:rPr>
          <w:color w:val="C00000"/>
        </w:rPr>
        <w:t>štandardnej</w:t>
      </w:r>
      <w:proofErr w:type="spellEnd"/>
      <w:r w:rsidRPr="00A25733">
        <w:rPr>
          <w:color w:val="C00000"/>
        </w:rPr>
        <w:t xml:space="preserve"> </w:t>
      </w:r>
      <w:proofErr w:type="spellStart"/>
      <w:r w:rsidRPr="00A25733">
        <w:rPr>
          <w:color w:val="C00000"/>
        </w:rPr>
        <w:t>záruky</w:t>
      </w:r>
      <w:proofErr w:type="spellEnd"/>
    </w:p>
    <w:p w14:paraId="254014D8" w14:textId="77777777" w:rsidR="009A0A6F" w:rsidRDefault="009A0A6F" w:rsidP="009A0A6F">
      <w:pPr>
        <w:spacing w:line="360" w:lineRule="auto"/>
        <w:rPr>
          <w:b/>
          <w:bCs/>
          <w:u w:val="single"/>
        </w:rPr>
      </w:pPr>
    </w:p>
    <w:p w14:paraId="266C721F" w14:textId="77777777" w:rsidR="009A0A6F" w:rsidRPr="005832A6" w:rsidRDefault="009A0A6F" w:rsidP="009A0A6F">
      <w:pPr>
        <w:spacing w:line="360" w:lineRule="auto"/>
      </w:pPr>
      <w:r w:rsidRPr="005832A6">
        <w:t>Program SAWA (Servisom aktivovaná predĺžená záruka) sa vzťahuje na motocykle a skútre, ktoré boli predané autorizovanými predajcami Honda a na ktoré začala štandardná záruka plynúť od 01. apríla 2025 a neskôr.</w:t>
      </w:r>
    </w:p>
    <w:p w14:paraId="2962C5F6" w14:textId="77777777" w:rsidR="009A0A6F" w:rsidRDefault="009A0A6F" w:rsidP="009A0A6F">
      <w:pPr>
        <w:spacing w:line="360" w:lineRule="auto"/>
        <w:rPr>
          <w:b/>
          <w:bCs/>
          <w:u w:val="single"/>
        </w:rPr>
      </w:pPr>
    </w:p>
    <w:p w14:paraId="4D5138C5" w14:textId="77777777" w:rsidR="009A0A6F" w:rsidRDefault="009A0A6F" w:rsidP="009A0A6F">
      <w:pPr>
        <w:spacing w:line="360" w:lineRule="auto"/>
      </w:pPr>
      <w:r w:rsidRPr="692CC080">
        <w:t>Po uplynutí štandardnej záruky v trvaní dva (2) roky môže byť záruka na motocykel predĺžená až o štyri (4) ďalšie 12-mesačné obdobia, pričom maximálna doba predĺženia je štyridsaťosem (48) po sebe nasledujúcich mesiacov.</w:t>
      </w:r>
    </w:p>
    <w:p w14:paraId="3FFBC591" w14:textId="77777777" w:rsidR="009A0A6F" w:rsidRDefault="009A0A6F" w:rsidP="009A0A6F">
      <w:pPr>
        <w:spacing w:line="360" w:lineRule="auto"/>
      </w:pPr>
    </w:p>
    <w:p w14:paraId="38D72A03" w14:textId="77777777" w:rsidR="009A0A6F" w:rsidRDefault="009A0A6F" w:rsidP="009A0A6F">
      <w:pPr>
        <w:spacing w:line="360" w:lineRule="auto"/>
      </w:pPr>
      <w:r w:rsidRPr="692CC080">
        <w:t>Predĺženie záruky poskytované spoločnosťou Honda Motor Europe nadväzuje na štandardnú záruku po jej uplynutí.</w:t>
      </w:r>
    </w:p>
    <w:p w14:paraId="317382DE" w14:textId="77777777" w:rsidR="009A0A6F" w:rsidRDefault="009A0A6F" w:rsidP="009A0A6F">
      <w:pPr>
        <w:spacing w:line="360" w:lineRule="auto"/>
      </w:pPr>
    </w:p>
    <w:p w14:paraId="377046F5" w14:textId="77777777" w:rsidR="009A0A6F" w:rsidRDefault="009A0A6F" w:rsidP="009A0A6F">
      <w:pPr>
        <w:spacing w:line="360" w:lineRule="auto"/>
      </w:pPr>
      <w:r w:rsidRPr="692CC080">
        <w:t xml:space="preserve">Aby bolo možné využiť predĺženie záruky, je nevyhnutné dodržiavať plán pravidelnej údržby uvedený v užívateľskej príručke až do 72. mesiaca (24 počiatočných mesiacov + 12 mesiacov + 12 mesiacov + 12 mesiacov + 12 mesiacov),  nepretržite udržiavať súlad s plánom </w:t>
      </w:r>
      <w:r>
        <w:t xml:space="preserve">pravidelnej </w:t>
      </w:r>
      <w:r w:rsidRPr="692CC080">
        <w:t>údržby a dodržiavať stanovené servisné intervaly určené počtom najazdených kilometrov a/alebo plynutím času (podľa toho, čo nastane skôr).</w:t>
      </w:r>
    </w:p>
    <w:p w14:paraId="695EE358" w14:textId="77777777" w:rsidR="009A0A6F" w:rsidRDefault="009A0A6F" w:rsidP="009A0A6F">
      <w:pPr>
        <w:spacing w:line="360" w:lineRule="auto"/>
      </w:pPr>
    </w:p>
    <w:p w14:paraId="7844859A" w14:textId="77777777" w:rsidR="009A0A6F" w:rsidRDefault="009A0A6F" w:rsidP="009A0A6F">
      <w:pPr>
        <w:spacing w:line="360" w:lineRule="auto"/>
      </w:pPr>
      <w:r w:rsidRPr="692CC080">
        <w:t>Všetka vykonaná údržba musí byť zaznamenaná prostredníctvom digitálneho servisného záznamu, aby bolo možné overiť dodržiavanie plánu pravidelnej údržby na účely obnovenia predĺženej záruky.</w:t>
      </w:r>
    </w:p>
    <w:p w14:paraId="77C64E97" w14:textId="77777777" w:rsidR="009A0A6F" w:rsidRDefault="009A0A6F" w:rsidP="009A0A6F">
      <w:pPr>
        <w:spacing w:line="360" w:lineRule="auto"/>
      </w:pPr>
    </w:p>
    <w:p w14:paraId="0DC1FB8F" w14:textId="77777777" w:rsidR="009A0A6F" w:rsidRDefault="009A0A6F" w:rsidP="009A0A6F">
      <w:pPr>
        <w:spacing w:line="360" w:lineRule="auto"/>
      </w:pPr>
      <w:bookmarkStart w:id="0" w:name="_Hlk193921050"/>
      <w:r w:rsidRPr="692CC080">
        <w:t xml:space="preserve">Nižšie v texte sú upravené podmienky tejto predĺženej záruky – „Servisom aktivovanej predĺženej záruky“. </w:t>
      </w:r>
    </w:p>
    <w:bookmarkEnd w:id="0"/>
    <w:p w14:paraId="65DC446F" w14:textId="77777777" w:rsidR="009A0A6F" w:rsidRDefault="009A0A6F" w:rsidP="009A0A6F">
      <w:pPr>
        <w:spacing w:line="360" w:lineRule="auto"/>
      </w:pPr>
    </w:p>
    <w:p w14:paraId="4E3A4BF6" w14:textId="77777777" w:rsidR="009A0A6F" w:rsidRPr="002A086D" w:rsidRDefault="009A0A6F" w:rsidP="009A0A6F">
      <w:pPr>
        <w:spacing w:line="360" w:lineRule="auto"/>
        <w:rPr>
          <w:b/>
          <w:bCs/>
          <w:u w:val="single"/>
        </w:rPr>
      </w:pPr>
      <w:r w:rsidRPr="692CC080">
        <w:rPr>
          <w:b/>
          <w:bCs/>
          <w:u w:val="single"/>
        </w:rPr>
        <w:t>Všeobecné podmienky, začiatok, trvanie</w:t>
      </w:r>
    </w:p>
    <w:p w14:paraId="2D80FCF4" w14:textId="77777777" w:rsidR="009A0A6F" w:rsidRDefault="009A0A6F" w:rsidP="009A0A6F">
      <w:pPr>
        <w:spacing w:line="360" w:lineRule="auto"/>
      </w:pPr>
    </w:p>
    <w:p w14:paraId="4874D549" w14:textId="77777777" w:rsidR="009A0A6F" w:rsidRDefault="009A0A6F" w:rsidP="009A0A6F">
      <w:pPr>
        <w:spacing w:line="360" w:lineRule="auto"/>
      </w:pPr>
      <w:r w:rsidRPr="692CC080">
        <w:t>Maximálna doba záruky je 72 mesiacov (vrátane štandardnej dvojročnej záruky). Na Vami zakúpený motocykel sa vzťahuje program</w:t>
      </w:r>
      <w:r>
        <w:t xml:space="preserve"> SAWA </w:t>
      </w:r>
      <w:r>
        <w:rPr>
          <w:u w:val="single"/>
        </w:rPr>
        <w:t xml:space="preserve"> (Servisom aktivovaná predĺžená záruka)</w:t>
      </w:r>
      <w:r w:rsidRPr="006B4C3E">
        <w:rPr>
          <w:u w:val="single"/>
        </w:rPr>
        <w:t xml:space="preserve"> </w:t>
      </w:r>
      <w:r w:rsidRPr="692CC080">
        <w:t xml:space="preserve"> a dodatočný záručný servis za predpokladu, že sú splnené nasledujúce podmienky</w:t>
      </w:r>
      <w:r>
        <w:t>:</w:t>
      </w:r>
    </w:p>
    <w:p w14:paraId="452737A6" w14:textId="77777777" w:rsidR="009A0A6F" w:rsidRDefault="009A0A6F" w:rsidP="009A0A6F">
      <w:pPr>
        <w:spacing w:line="360" w:lineRule="auto"/>
      </w:pPr>
    </w:p>
    <w:p w14:paraId="0C8EA4E3" w14:textId="77777777" w:rsidR="009A0A6F" w:rsidRDefault="009A0A6F" w:rsidP="009A0A6F">
      <w:pPr>
        <w:rPr>
          <w:sz w:val="21"/>
          <w:szCs w:val="21"/>
        </w:rPr>
      </w:pPr>
      <w:r w:rsidRPr="786D192B">
        <w:t>a) Pre zachovanie záruky na Váš motocykel sa vyžaduje riadne a úplné dodržiavanie plánu pravidelnej údržby.</w:t>
      </w:r>
    </w:p>
    <w:p w14:paraId="57585A2D" w14:textId="77777777" w:rsidR="009A0A6F" w:rsidRDefault="009A0A6F" w:rsidP="009A0A6F"/>
    <w:p w14:paraId="738855A6" w14:textId="77777777" w:rsidR="009A0A6F" w:rsidRDefault="009A0A6F" w:rsidP="009A0A6F">
      <w:pPr>
        <w:spacing w:line="360" w:lineRule="auto"/>
      </w:pPr>
      <w:r w:rsidRPr="786D192B">
        <w:t xml:space="preserve">Odporúčame Vám navštíviť autorizovaného predajcu Honda alebo autorizované servisné stredisko Honda, </w:t>
      </w:r>
      <w:r w:rsidRPr="786D192B">
        <w:lastRenderedPageBreak/>
        <w:t>kde naši odborne vyškolení technici používajú originálne náhradné diely Honda a najnovšie diagnostické nástroje za účelom poskytovania najvyššej úrovne starostlivosti. Od druhej ročnej servisnej prehliadky a po zvyšok trvania predĺženej záruky, teda tejto servisom aktivovanej predĺženej záruky, musia byť všetky servisné zásahy vykonané u autorizovaného predajcu Honda alebo v autorizovanom servisnom stredisku Honda, aby bola zachovaná predĺžená záruka na Váš motocykel.</w:t>
      </w:r>
    </w:p>
    <w:p w14:paraId="504AB152" w14:textId="77777777" w:rsidR="009A0A6F" w:rsidRDefault="009A0A6F" w:rsidP="009A0A6F">
      <w:pPr>
        <w:spacing w:line="360" w:lineRule="auto"/>
      </w:pPr>
    </w:p>
    <w:p w14:paraId="5C8185E8" w14:textId="77777777" w:rsidR="009A0A6F" w:rsidRDefault="009A0A6F" w:rsidP="009A0A6F">
      <w:pPr>
        <w:spacing w:line="360" w:lineRule="auto"/>
      </w:pPr>
      <w:r w:rsidRPr="786D192B">
        <w:t>b) Vykonanie všetkých úkonov pravidelnej údržby riadne a včas v súlade so servisnými intervalmi určenými počtom najazdených kilometrov a/alebo plynutím času (podľa toho, čo nastane skôr).</w:t>
      </w:r>
    </w:p>
    <w:p w14:paraId="6FFAFD6E" w14:textId="77777777" w:rsidR="009A0A6F" w:rsidRDefault="009A0A6F" w:rsidP="009A0A6F">
      <w:pPr>
        <w:spacing w:line="360" w:lineRule="auto"/>
      </w:pPr>
    </w:p>
    <w:p w14:paraId="0AD9513C" w14:textId="77777777" w:rsidR="009A0A6F" w:rsidRPr="009A0A6F" w:rsidRDefault="009A0A6F" w:rsidP="009A0A6F">
      <w:pPr>
        <w:pStyle w:val="ListParagraph"/>
        <w:ind w:left="0"/>
        <w:rPr>
          <w:lang w:val="sk-SK"/>
        </w:rPr>
      </w:pPr>
      <w:r w:rsidRPr="009A0A6F">
        <w:rPr>
          <w:lang w:val="sk-SK"/>
        </w:rPr>
        <w:t>c) Dostupnosť potvrdení o úhrade/daňových dokladov preukazujúcich dodržiavanie plánu pravidelnej údržby a obsahujúcich podrobnosti o vykonaných prácach a vymenených náhradných dieloch. Tieto daňové doklady budú zaznamenané v databáze Honda autorizovaným predajcom Honda alebo autorizovaným servisným strediskom Honda vykonávajúcim údržbu.</w:t>
      </w:r>
    </w:p>
    <w:p w14:paraId="4E0E3068" w14:textId="77777777" w:rsidR="009A0A6F" w:rsidRPr="009A0A6F" w:rsidRDefault="009A0A6F" w:rsidP="009A0A6F">
      <w:pPr>
        <w:pStyle w:val="ListParagraph"/>
        <w:ind w:left="0"/>
        <w:rPr>
          <w:lang w:val="sk-SK"/>
        </w:rPr>
      </w:pPr>
    </w:p>
    <w:p w14:paraId="1163D5CF" w14:textId="77777777" w:rsidR="009A0A6F" w:rsidRPr="009A0A6F" w:rsidRDefault="009A0A6F" w:rsidP="009A0A6F">
      <w:pPr>
        <w:pStyle w:val="ListParagraph"/>
        <w:ind w:left="0"/>
        <w:rPr>
          <w:lang w:val="sk-SK"/>
        </w:rPr>
      </w:pPr>
      <w:r w:rsidRPr="009A0A6F">
        <w:rPr>
          <w:b/>
          <w:bCs/>
          <w:lang w:val="sk-SK"/>
        </w:rPr>
        <w:t>Poučenie</w:t>
      </w:r>
      <w:r w:rsidRPr="009A0A6F">
        <w:rPr>
          <w:lang w:val="sk-SK"/>
        </w:rPr>
        <w:t xml:space="preserve">: V zmysle § 626 ods. 5 zákona č. 40/1964 Zb. (ďalej ako „Občiansky zákonník“) v platnom znení sa konštatuje, že v prípade, ak ste v súvislosti s kúpou tohto produktu (motocykla alebo skútra) ako kupujúci v postavení spotrebiteľa, máte voči predávajúcemu všetky práva vyplývajúce zo zodpovednosti za vady v zmysle § 621 Občianskeho zákonníka a tieto práva nie sú dotknuté touto Servisom aktivovanou predĺženou zárukou. </w:t>
      </w:r>
    </w:p>
    <w:p w14:paraId="3E0E1960" w14:textId="77777777" w:rsidR="009A0A6F" w:rsidRPr="009A0A6F" w:rsidRDefault="009A0A6F" w:rsidP="009A0A6F">
      <w:pPr>
        <w:pStyle w:val="ListParagraph"/>
        <w:ind w:left="0"/>
        <w:rPr>
          <w:lang w:val="sk-SK"/>
        </w:rPr>
      </w:pPr>
    </w:p>
    <w:p w14:paraId="3DF0540A" w14:textId="77777777" w:rsidR="009A0A6F" w:rsidRDefault="009A0A6F" w:rsidP="009A0A6F">
      <w:pPr>
        <w:spacing w:line="360" w:lineRule="auto"/>
        <w:rPr>
          <w:b/>
          <w:bCs/>
          <w:u w:val="single"/>
        </w:rPr>
      </w:pPr>
      <w:r w:rsidRPr="786D192B">
        <w:rPr>
          <w:b/>
          <w:bCs/>
          <w:u w:val="single"/>
        </w:rPr>
        <w:t>Výluky</w:t>
      </w:r>
    </w:p>
    <w:p w14:paraId="47D4C725" w14:textId="77777777" w:rsidR="009A0A6F" w:rsidRPr="009A0A6F" w:rsidRDefault="009A0A6F" w:rsidP="009A0A6F">
      <w:pPr>
        <w:pStyle w:val="ListParagraph"/>
        <w:numPr>
          <w:ilvl w:val="1"/>
          <w:numId w:val="0"/>
        </w:numPr>
        <w:spacing w:before="120" w:after="120" w:line="360" w:lineRule="auto"/>
        <w:ind w:left="567" w:hanging="567"/>
        <w:mirrorIndents/>
        <w:jc w:val="both"/>
        <w:outlineLvl w:val="2"/>
        <w:rPr>
          <w:lang w:val="sk-SK"/>
        </w:rPr>
      </w:pPr>
      <w:r w:rsidRPr="009A0A6F">
        <w:rPr>
          <w:lang w:val="sk-SK"/>
        </w:rPr>
        <w:t>Nižšie nájdete zoznam výluk zo Servisom aktivovanej predĺženej záruky, teda zoznam prípadov na ktoré sa táto záruka nevzťahuje a/alebo ktoré spôsobujú zánik nárokov zo záruky:</w:t>
      </w:r>
    </w:p>
    <w:p w14:paraId="48E8A32B" w14:textId="77777777" w:rsidR="009A0A6F" w:rsidRDefault="009A0A6F" w:rsidP="009A0A6F">
      <w:pPr>
        <w:pStyle w:val="Deeperparagraph"/>
        <w:numPr>
          <w:ilvl w:val="2"/>
          <w:numId w:val="0"/>
        </w:numPr>
        <w:ind w:left="1080" w:hanging="360"/>
      </w:pPr>
      <w:r w:rsidRPr="56468661">
        <w:t xml:space="preserve">Motocykle, pri ktorých nebol </w:t>
      </w:r>
      <w:r>
        <w:t xml:space="preserve">riadne a včasne </w:t>
      </w:r>
      <w:r w:rsidRPr="56468661">
        <w:t>dodržaný plán pravidelnej údržby uvedený v užívateľskej príručke, či už počas prvých 24 mesiacov alebo neskôr.</w:t>
      </w:r>
    </w:p>
    <w:p w14:paraId="1FC88276" w14:textId="77777777" w:rsidR="009A0A6F" w:rsidRDefault="009A0A6F" w:rsidP="009A0A6F">
      <w:pPr>
        <w:pStyle w:val="Deeperparagraph"/>
        <w:numPr>
          <w:ilvl w:val="2"/>
          <w:numId w:val="0"/>
        </w:numPr>
        <w:ind w:left="1080" w:hanging="360"/>
      </w:pPr>
      <w:r w:rsidRPr="56468661">
        <w:t>Komerčné využitie motocykla (napríklad, avšak nie výlučne prenájom, preprava, taxislužba a pod.).</w:t>
      </w:r>
    </w:p>
    <w:p w14:paraId="6A41BA89" w14:textId="77777777" w:rsidR="009A0A6F" w:rsidRPr="00327760" w:rsidRDefault="009A0A6F" w:rsidP="009A0A6F">
      <w:pPr>
        <w:pStyle w:val="Deeperparagraph"/>
        <w:numPr>
          <w:ilvl w:val="2"/>
          <w:numId w:val="0"/>
        </w:numPr>
        <w:ind w:left="1080" w:hanging="360"/>
      </w:pPr>
      <w:r w:rsidRPr="56468661">
        <w:t>Akékoľvek poškodenie spôsobené opravami alebo údržbou vykonanou spôsobom alebo metódou, ktoré nie sú špecifikované spoločnosťou Honda.</w:t>
      </w:r>
    </w:p>
    <w:p w14:paraId="769E1985" w14:textId="77777777" w:rsidR="009A0A6F" w:rsidRDefault="009A0A6F" w:rsidP="009A0A6F">
      <w:pPr>
        <w:pStyle w:val="Deeperparagraph"/>
        <w:numPr>
          <w:ilvl w:val="2"/>
          <w:numId w:val="0"/>
        </w:numPr>
        <w:ind w:left="1080" w:hanging="360"/>
      </w:pPr>
      <w:r w:rsidRPr="56468661">
        <w:t>Akékoľvek poškodenie spôsobené použitím výrobku (motorového vozidla, motocyklu) v pretekoch, rally alebo iných súťažiach, prípadne počas tréningu alebo prípravy na takéto podujatia.</w:t>
      </w:r>
    </w:p>
    <w:p w14:paraId="2A45F7E8" w14:textId="77777777" w:rsidR="009A0A6F" w:rsidRDefault="009A0A6F" w:rsidP="009A0A6F">
      <w:pPr>
        <w:pStyle w:val="Deeperparagraph"/>
        <w:numPr>
          <w:ilvl w:val="2"/>
          <w:numId w:val="0"/>
        </w:numPr>
        <w:ind w:left="1080" w:hanging="360"/>
      </w:pPr>
      <w:r w:rsidRPr="56468661">
        <w:t>Akékoľvek poškodenie spôsobené používaním motocykla spôsobom, ktorý nie je uvedený v užívateľskej príručke, alebo nad rámec jeho určených obmedzení (maximálne zaťaženie, maximálny počet cestujúcich – prepravovaných osôb, otáčky motora).</w:t>
      </w:r>
    </w:p>
    <w:p w14:paraId="59444B08" w14:textId="77777777" w:rsidR="009A0A6F" w:rsidRDefault="009A0A6F" w:rsidP="009A0A6F">
      <w:pPr>
        <w:pStyle w:val="Deeperparagraph"/>
        <w:numPr>
          <w:ilvl w:val="2"/>
          <w:numId w:val="0"/>
        </w:numPr>
        <w:ind w:left="1080" w:hanging="360"/>
      </w:pPr>
      <w:r w:rsidRPr="56468661">
        <w:t>Akékoľvek poškodenie spôsobené použitím neoriginálnych dielov, mazív alebo kvapalín, ktoré nie sú odporúčané spoločnosťou Honda, alebo príslušenstva, ktoré nie je schválené spoločnosťou Honda.</w:t>
      </w:r>
    </w:p>
    <w:p w14:paraId="2BFF6440" w14:textId="77777777" w:rsidR="009A0A6F" w:rsidRDefault="009A0A6F" w:rsidP="009A0A6F">
      <w:pPr>
        <w:pStyle w:val="Deeperparagraph"/>
        <w:numPr>
          <w:ilvl w:val="2"/>
          <w:numId w:val="0"/>
        </w:numPr>
        <w:ind w:left="1080" w:hanging="360"/>
      </w:pPr>
      <w:r w:rsidRPr="56468661">
        <w:lastRenderedPageBreak/>
        <w:t>Akékoľvek poškodenie spôsobené úpravami, ktoré neboli schválené spoločnosťou Honda, vrátane, ale nie výlučne, úprav výkonu motora, karosérie, zavesenia kolies, podvozku alebo svetiel (osvetľovacích a signálnych zariadení).</w:t>
      </w:r>
    </w:p>
    <w:p w14:paraId="7FB5A5C4" w14:textId="77777777" w:rsidR="009A0A6F" w:rsidRDefault="009A0A6F" w:rsidP="009A0A6F">
      <w:pPr>
        <w:pStyle w:val="Deeperparagraph"/>
        <w:numPr>
          <w:ilvl w:val="2"/>
          <w:numId w:val="0"/>
        </w:numPr>
        <w:ind w:left="1080" w:hanging="360"/>
      </w:pPr>
      <w:r w:rsidRPr="56468661">
        <w:t>Akékoľvek poškodenie spôsobené kontaminovaným alebo znehodnoteným palivom, alebo nesprávnym tankovaním.</w:t>
      </w:r>
    </w:p>
    <w:p w14:paraId="76A54B15" w14:textId="77777777" w:rsidR="009A0A6F" w:rsidRDefault="009A0A6F" w:rsidP="009A0A6F">
      <w:pPr>
        <w:pStyle w:val="Deeperparagraph"/>
        <w:numPr>
          <w:ilvl w:val="2"/>
          <w:numId w:val="0"/>
        </w:numPr>
        <w:ind w:left="1080" w:hanging="360"/>
      </w:pPr>
      <w:r w:rsidRPr="56468661">
        <w:t>Akékoľvek poškodenie alebo opotrebovanie v dôsledku plynutia času (napr. prirodzené vyblednutie lakovaných alebo pochrómovaných povrchov, odlupovanie fólie, korózia a iné prirodzené opotrebenie).</w:t>
      </w:r>
      <w:r w:rsidDel="007C016C">
        <w:t xml:space="preserve"> </w:t>
      </w:r>
    </w:p>
    <w:p w14:paraId="3E3E60A3" w14:textId="77777777" w:rsidR="009A0A6F" w:rsidRDefault="009A0A6F" w:rsidP="009A0A6F">
      <w:pPr>
        <w:pStyle w:val="Deeperparagraph"/>
        <w:numPr>
          <w:ilvl w:val="2"/>
          <w:numId w:val="0"/>
        </w:numPr>
        <w:ind w:left="1080" w:hanging="360"/>
      </w:pPr>
      <w:r w:rsidRPr="56468661">
        <w:t xml:space="preserve">Akékoľvek poškodenie alebo opotrebovanie spôsobené prasklinami, </w:t>
      </w:r>
      <w:r>
        <w:t>mechanickým poškodením</w:t>
      </w:r>
      <w:r w:rsidRPr="56468661">
        <w:t xml:space="preserve"> alebo poškodením v dôsledku mrazu, oxidácie alebo korózie.</w:t>
      </w:r>
    </w:p>
    <w:p w14:paraId="7A0E185D" w14:textId="77777777" w:rsidR="009A0A6F" w:rsidRDefault="009A0A6F" w:rsidP="009A0A6F">
      <w:pPr>
        <w:pStyle w:val="Deeperparagraph"/>
        <w:numPr>
          <w:ilvl w:val="2"/>
          <w:numId w:val="0"/>
        </w:numPr>
        <w:ind w:left="1080" w:hanging="360"/>
      </w:pPr>
      <w:r w:rsidRPr="56468661">
        <w:t>Akékoľvek poškodenie spôsobené nesprávnym skladovaním alebo prepravou.</w:t>
      </w:r>
    </w:p>
    <w:p w14:paraId="09C9AF1C" w14:textId="77777777" w:rsidR="009A0A6F" w:rsidRDefault="009A0A6F" w:rsidP="009A0A6F">
      <w:pPr>
        <w:pStyle w:val="Deeperparagraph"/>
        <w:numPr>
          <w:ilvl w:val="2"/>
          <w:numId w:val="0"/>
        </w:numPr>
        <w:ind w:left="1080" w:hanging="360"/>
      </w:pPr>
      <w:r w:rsidRPr="56468661">
        <w:t>Akékoľvek poškodenie spôsobené bežným opotrebením motocykla v dôsledku jeho používania.</w:t>
      </w:r>
    </w:p>
    <w:p w14:paraId="194F7A73" w14:textId="77777777" w:rsidR="009A0A6F" w:rsidRDefault="009A0A6F" w:rsidP="009A0A6F">
      <w:pPr>
        <w:pStyle w:val="Deeperparagraph"/>
        <w:numPr>
          <w:ilvl w:val="2"/>
          <w:numId w:val="0"/>
        </w:numPr>
        <w:ind w:left="1080" w:hanging="360"/>
      </w:pPr>
      <w:r w:rsidRPr="56468661">
        <w:t>Spotrebné diely. Honda neposkytuje záruku na opotrebenie dielov v dôsledku prirodzeného používania. Podrobnosti o týchto dieloch, na ktoré sa nevzťahuje záruka, nájdete v štandardných záručných podmienkach.</w:t>
      </w:r>
    </w:p>
    <w:p w14:paraId="191946E0" w14:textId="77777777" w:rsidR="009A0A6F" w:rsidRDefault="009A0A6F" w:rsidP="009A0A6F">
      <w:pPr>
        <w:pStyle w:val="Deeperparagraph"/>
        <w:numPr>
          <w:ilvl w:val="2"/>
          <w:numId w:val="0"/>
        </w:numPr>
        <w:ind w:left="1080" w:hanging="360"/>
      </w:pPr>
      <w:r w:rsidRPr="56468661">
        <w:t>Práce vykonané neoprávnenými osobami a náklady na opravy chýb vzniknutých ich zásahom.</w:t>
      </w:r>
    </w:p>
    <w:p w14:paraId="79C0C295" w14:textId="77777777" w:rsidR="009A0A6F" w:rsidRDefault="009A0A6F" w:rsidP="009A0A6F">
      <w:pPr>
        <w:pStyle w:val="Deeperparagraph"/>
        <w:numPr>
          <w:ilvl w:val="2"/>
          <w:numId w:val="0"/>
        </w:numPr>
        <w:ind w:left="1080" w:hanging="360"/>
      </w:pPr>
      <w:r w:rsidRPr="56468661">
        <w:t>Akékoľvek poškodenie spôsobené neodvrátiteľnými prírodnými katastrofami, požiarom, kolíziou, krádežou a následným poškodením. Taktiež poškodenia spôsobené sadzami a dymom, chemikáliami, vtáčím trusom, morskou vodou, morským vánkom, soľou a inými prírodnými javmi. Poškodenie a znehodnotenie spôsobené prírodnými javmi je mimo kontroly spoločnosti Honda a preto nie je kryté zárukou.</w:t>
      </w:r>
    </w:p>
    <w:p w14:paraId="72F5CBB5" w14:textId="77777777" w:rsidR="009A0A6F" w:rsidRDefault="009A0A6F" w:rsidP="009A0A6F">
      <w:pPr>
        <w:pStyle w:val="Deeperparagraph"/>
        <w:numPr>
          <w:ilvl w:val="2"/>
          <w:numId w:val="0"/>
        </w:numPr>
        <w:ind w:left="1080" w:hanging="360"/>
      </w:pPr>
      <w:r w:rsidRPr="56468661">
        <w:t>Motocykle, ktorým bolo pozmenené, odstránené alebo inak upravené identifikačné číslo.</w:t>
      </w:r>
    </w:p>
    <w:p w14:paraId="5A94C913" w14:textId="77777777" w:rsidR="009A0A6F" w:rsidRPr="00A47710" w:rsidRDefault="009A0A6F" w:rsidP="009A0A6F">
      <w:pPr>
        <w:pStyle w:val="Deeperparagraph"/>
        <w:ind w:left="1440" w:firstLine="0"/>
      </w:pPr>
    </w:p>
    <w:p w14:paraId="18F2D484" w14:textId="77777777" w:rsidR="009A0A6F" w:rsidRPr="00A47710" w:rsidRDefault="009A0A6F" w:rsidP="009A0A6F">
      <w:pPr>
        <w:pStyle w:val="Deeperparagraph"/>
        <w:numPr>
          <w:ilvl w:val="2"/>
          <w:numId w:val="0"/>
        </w:numPr>
        <w:ind w:left="1080" w:hanging="360"/>
      </w:pPr>
      <w:r w:rsidRPr="56468661">
        <w:t>Záruka zaniká na každý motocykel, ktorý napríklad utrpel totálnu škodu, bol rozobratý, znovu zložený, poškodený požiarom alebo vodou, preťažený mechanicky alebo ak odometer (počítadlo kilometrov) nezobrazuje skutočný počet najazdených kilometrov.</w:t>
      </w:r>
    </w:p>
    <w:p w14:paraId="36CF9409" w14:textId="77777777" w:rsidR="009A0A6F" w:rsidRPr="009A0A6F" w:rsidRDefault="009A0A6F" w:rsidP="009A0A6F">
      <w:pPr>
        <w:pStyle w:val="ListParagraph"/>
        <w:numPr>
          <w:ilvl w:val="1"/>
          <w:numId w:val="0"/>
        </w:numPr>
        <w:spacing w:before="120" w:after="120" w:line="360" w:lineRule="auto"/>
        <w:ind w:left="567" w:hanging="567"/>
        <w:mirrorIndents/>
        <w:outlineLvl w:val="2"/>
        <w:rPr>
          <w:lang w:val="sk-SK"/>
        </w:rPr>
      </w:pPr>
      <w:r w:rsidRPr="009A0A6F">
        <w:rPr>
          <w:lang w:val="sk-SK"/>
        </w:rPr>
        <w:t>Servisom aktivovaná predĺžená záruka nepokrýva náklady na bežné servisné úkony, ani servisné položky ako filtre a podobne.</w:t>
      </w:r>
    </w:p>
    <w:p w14:paraId="546EED11" w14:textId="77777777" w:rsidR="009A0A6F" w:rsidRPr="009A0A6F" w:rsidRDefault="009A0A6F" w:rsidP="009A0A6F">
      <w:pPr>
        <w:pStyle w:val="ListParagraph"/>
        <w:ind w:left="567"/>
        <w:rPr>
          <w:lang w:val="sk-SK"/>
        </w:rPr>
      </w:pPr>
      <w:r w:rsidRPr="009A0A6F">
        <w:rPr>
          <w:lang w:val="sk-SK"/>
        </w:rPr>
        <w:t>Podobne nie sú kryté položky, ktoré sa opotrebúvajú ako súčasť svojej bežnej funkcie (pozri štandardné záručné podmienky), pokiaľ nie je u nich preukázaná výrobná vada.</w:t>
      </w:r>
    </w:p>
    <w:p w14:paraId="3E89902C" w14:textId="77777777" w:rsidR="009A0A6F" w:rsidRPr="009A0A6F" w:rsidRDefault="009A0A6F" w:rsidP="009A0A6F">
      <w:pPr>
        <w:pStyle w:val="ListParagraph"/>
        <w:numPr>
          <w:ilvl w:val="1"/>
          <w:numId w:val="0"/>
        </w:numPr>
        <w:spacing w:before="120" w:after="120" w:line="360" w:lineRule="auto"/>
        <w:ind w:left="567" w:hanging="567"/>
        <w:mirrorIndents/>
        <w:jc w:val="both"/>
        <w:outlineLvl w:val="2"/>
        <w:rPr>
          <w:lang w:val="sk-SK"/>
        </w:rPr>
      </w:pPr>
      <w:r w:rsidRPr="009A0A6F">
        <w:rPr>
          <w:lang w:val="sk-SK"/>
        </w:rPr>
        <w:t>Pokiaľ nie je vyslovene uvedený opak, náklady spojené s uplatnením záruky nie sú kryté.</w:t>
      </w:r>
      <w:r w:rsidRPr="009A0A6F">
        <w:rPr>
          <w:lang w:val="sk-SK"/>
        </w:rPr>
        <w:br/>
        <w:t xml:space="preserve">Náklady, ktoré nie sú kryté zahŕňajú napríklad, avšak nie výlučne: </w:t>
      </w:r>
    </w:p>
    <w:p w14:paraId="3E6CD082" w14:textId="77777777" w:rsidR="009A0A6F" w:rsidRDefault="009A0A6F" w:rsidP="009A0A6F">
      <w:pPr>
        <w:pStyle w:val="Deeperparagraph"/>
        <w:numPr>
          <w:ilvl w:val="2"/>
          <w:numId w:val="0"/>
        </w:numPr>
        <w:ind w:left="1080" w:hanging="360"/>
      </w:pPr>
      <w:r w:rsidRPr="56468661">
        <w:t>Náklady na odťah, komunikáciu, ubytovanie, stravu a iné výdavky vynaložené v súvislosti s poruchou.</w:t>
      </w:r>
    </w:p>
    <w:p w14:paraId="6F87F3F9" w14:textId="77777777" w:rsidR="009A0A6F" w:rsidRDefault="009A0A6F" w:rsidP="009A0A6F">
      <w:pPr>
        <w:pStyle w:val="Deeperparagraph"/>
        <w:numPr>
          <w:ilvl w:val="2"/>
          <w:numId w:val="0"/>
        </w:numPr>
        <w:ind w:left="1080" w:hanging="360"/>
      </w:pPr>
      <w:r w:rsidRPr="56468661">
        <w:t>Akékoľvek náklady súvisiace s ujmou na zdraví alebo poškodením majetku.</w:t>
      </w:r>
    </w:p>
    <w:p w14:paraId="4DA7951C" w14:textId="77777777" w:rsidR="009A0A6F" w:rsidRPr="00CC5FC7" w:rsidRDefault="009A0A6F" w:rsidP="009A0A6F">
      <w:pPr>
        <w:pStyle w:val="Deeperparagraph"/>
        <w:numPr>
          <w:ilvl w:val="2"/>
          <w:numId w:val="0"/>
        </w:numPr>
        <w:ind w:left="1080" w:hanging="360"/>
      </w:pPr>
      <w:r w:rsidRPr="56468661">
        <w:lastRenderedPageBreak/>
        <w:t>Kompenzáciu za stratu času, náhradu škody a ušlého zisku alebo náklady na prenájom náhradného motocykla počas opravy.</w:t>
      </w:r>
    </w:p>
    <w:p w14:paraId="3110448A" w14:textId="77777777" w:rsidR="009A0A6F" w:rsidRPr="009A0A6F" w:rsidRDefault="009A0A6F" w:rsidP="009A0A6F">
      <w:pPr>
        <w:pStyle w:val="ListParagraph"/>
        <w:numPr>
          <w:ilvl w:val="1"/>
          <w:numId w:val="0"/>
        </w:numPr>
        <w:spacing w:before="120" w:after="120" w:line="360" w:lineRule="auto"/>
        <w:ind w:left="567" w:hanging="567"/>
        <w:mirrorIndents/>
        <w:jc w:val="both"/>
        <w:outlineLvl w:val="2"/>
        <w:rPr>
          <w:lang w:val="sk-SK"/>
        </w:rPr>
      </w:pPr>
      <w:r w:rsidRPr="009A0A6F">
        <w:rPr>
          <w:lang w:val="sk-SK"/>
        </w:rPr>
        <w:t>Honda si vyhradzuje právo rozhodnúť o rozsahu a spôsobe opravy.</w:t>
      </w:r>
    </w:p>
    <w:p w14:paraId="58223527" w14:textId="77777777" w:rsidR="009A0A6F" w:rsidRPr="009A0A6F" w:rsidRDefault="009A0A6F" w:rsidP="009A0A6F">
      <w:pPr>
        <w:pStyle w:val="ListParagraph"/>
        <w:numPr>
          <w:ilvl w:val="1"/>
          <w:numId w:val="0"/>
        </w:numPr>
        <w:spacing w:before="120" w:after="120" w:line="360" w:lineRule="auto"/>
        <w:ind w:left="567" w:hanging="567"/>
        <w:mirrorIndents/>
        <w:jc w:val="both"/>
        <w:outlineLvl w:val="2"/>
        <w:rPr>
          <w:lang w:val="sk-SK"/>
        </w:rPr>
      </w:pPr>
      <w:r w:rsidRPr="009A0A6F">
        <w:rPr>
          <w:lang w:val="sk-SK"/>
        </w:rPr>
        <w:t>Všetky diely odstránené počas záručnej opravy sa stávajú majetkom spoločnosti Honda.</w:t>
      </w:r>
    </w:p>
    <w:p w14:paraId="335DFCE6" w14:textId="77777777" w:rsidR="009A0A6F" w:rsidRPr="009A0A6F" w:rsidRDefault="009A0A6F" w:rsidP="009A0A6F">
      <w:pPr>
        <w:pStyle w:val="ListParagraph"/>
        <w:numPr>
          <w:ilvl w:val="1"/>
          <w:numId w:val="0"/>
        </w:numPr>
        <w:spacing w:before="120" w:after="120" w:line="360" w:lineRule="auto"/>
        <w:ind w:left="567" w:hanging="567"/>
        <w:mirrorIndents/>
        <w:jc w:val="both"/>
        <w:outlineLvl w:val="2"/>
        <w:rPr>
          <w:lang w:val="sk-SK"/>
        </w:rPr>
      </w:pPr>
      <w:r w:rsidRPr="009A0A6F">
        <w:rPr>
          <w:lang w:val="sk-SK"/>
        </w:rPr>
        <w:t>Všetky diely vymenené v rámci záruky sú kryté po zvyšok záručnej doby.</w:t>
      </w:r>
    </w:p>
    <w:p w14:paraId="37BBD454" w14:textId="77777777" w:rsidR="009A0A6F" w:rsidRPr="009A0A6F" w:rsidRDefault="009A0A6F" w:rsidP="009A0A6F">
      <w:pPr>
        <w:pStyle w:val="ListParagraph"/>
        <w:numPr>
          <w:ilvl w:val="1"/>
          <w:numId w:val="0"/>
        </w:numPr>
        <w:spacing w:before="120" w:after="120" w:line="360" w:lineRule="auto"/>
        <w:ind w:left="567" w:hanging="567"/>
        <w:mirrorIndents/>
        <w:jc w:val="both"/>
        <w:outlineLvl w:val="2"/>
        <w:rPr>
          <w:lang w:val="sk-SK"/>
        </w:rPr>
      </w:pPr>
      <w:r w:rsidRPr="009A0A6F">
        <w:rPr>
          <w:lang w:val="sk-SK"/>
        </w:rPr>
        <w:t>Honda si vyhradzuje právo vykonávať zmeny a vylepšenia akéhokoľvek modelu bez toho, aby bola povinná tak urobiť na už predaných motocykloch.</w:t>
      </w:r>
    </w:p>
    <w:p w14:paraId="3BCD6D03" w14:textId="77777777" w:rsidR="009A0A6F" w:rsidRPr="009A0A6F" w:rsidRDefault="009A0A6F" w:rsidP="009A0A6F">
      <w:pPr>
        <w:pStyle w:val="ListParagraph"/>
        <w:ind w:left="567"/>
        <w:rPr>
          <w:sz w:val="24"/>
          <w:szCs w:val="24"/>
          <w:lang w:val="sk-SK"/>
        </w:rPr>
      </w:pPr>
    </w:p>
    <w:p w14:paraId="52DBE567" w14:textId="77777777" w:rsidR="009A0A6F" w:rsidRPr="009A0A6F" w:rsidRDefault="009A0A6F" w:rsidP="009A0A6F">
      <w:pPr>
        <w:pStyle w:val="ListParagraph"/>
        <w:ind w:left="567"/>
        <w:rPr>
          <w:lang w:val="sk-SK"/>
        </w:rPr>
      </w:pPr>
      <w:r w:rsidRPr="009A0A6F">
        <w:rPr>
          <w:lang w:val="sk-SK"/>
        </w:rPr>
        <w:t>Predĺžená záruka sa taktiež nevzťahuje na položky, ktoré sú servisnými dielmi a dielmi, ktoré majú životnosť závislú od používania a je ich výmena je očakávaná pri bežnej údržbe. Príklady takýchto dielov zahŕňajú, ale nie sú obmedzené na:</w:t>
      </w:r>
    </w:p>
    <w:p w14:paraId="58FC8E09" w14:textId="77777777" w:rsidR="009A0A6F" w:rsidRDefault="009A0A6F" w:rsidP="009A0A6F">
      <w:pPr>
        <w:pStyle w:val="Deeperparagraph"/>
        <w:numPr>
          <w:ilvl w:val="2"/>
          <w:numId w:val="0"/>
        </w:numPr>
        <w:ind w:left="1080" w:hanging="360"/>
      </w:pPr>
      <w:r w:rsidRPr="56468661">
        <w:t>Diely: zapaľovacie sviečky, palivové filtre, olejové filtre, vzduchové filtre, stojany, hnacie reťaze, batérie, trecie materiály, prevodové remene, spojkové bubny, káble a lanká, elektroinštalácia, mechanické brzdové diely (doštičky, kotúče, čeľuste atď.), spojkové kotúče, zavesenie kolies a súvisiace súčiastky, guferá vidlice, žiarovky, svetlomety, poistky, uhlíky motora, gumové stúpačky, tesnenia brzdového systému, remene, pneumatiky, duše, hadice a iné gumové súčiastky, karosárske diely a príslušenstvo, tesnenia, čalúnenie, výplne, špice kolies, ložiská kolies.</w:t>
      </w:r>
    </w:p>
    <w:p w14:paraId="6BE1E581" w14:textId="77777777" w:rsidR="009A0A6F" w:rsidRDefault="009A0A6F" w:rsidP="009A0A6F">
      <w:pPr>
        <w:pStyle w:val="Deeperparagraph"/>
        <w:numPr>
          <w:ilvl w:val="2"/>
          <w:numId w:val="0"/>
        </w:numPr>
        <w:ind w:left="1080" w:hanging="360"/>
      </w:pPr>
      <w:r w:rsidRPr="56468661">
        <w:t>Mazivá: olej, vazelína, elektrolyt do batérií, chladiace kvapaliny, brzdová kvapalina, kvapalina do spojky, prevodová a diferenciálna kvapalina a ďalšie podľa odporúčania Hondy.</w:t>
      </w:r>
    </w:p>
    <w:p w14:paraId="542E77D4" w14:textId="77777777" w:rsidR="009A0A6F" w:rsidRDefault="009A0A6F" w:rsidP="009A0A6F">
      <w:pPr>
        <w:pStyle w:val="Deeperparagraph"/>
        <w:numPr>
          <w:ilvl w:val="2"/>
          <w:numId w:val="0"/>
        </w:numPr>
        <w:ind w:left="1080" w:hanging="360"/>
      </w:pPr>
      <w:r w:rsidRPr="56468661">
        <w:t>Čistenie, kontroly, nastavenia a pravidelná údržba.</w:t>
      </w:r>
    </w:p>
    <w:p w14:paraId="15B7E47F" w14:textId="77777777" w:rsidR="009A0A6F" w:rsidRDefault="009A0A6F" w:rsidP="009A0A6F">
      <w:pPr>
        <w:pStyle w:val="Deeperparagraph"/>
        <w:numPr>
          <w:ilvl w:val="2"/>
          <w:numId w:val="0"/>
        </w:numPr>
        <w:ind w:left="1080" w:hanging="360"/>
      </w:pPr>
      <w:r w:rsidRPr="56468661">
        <w:t>Príslušenstvo – aj keď je originálne a/alebo nainštalované po kúpe motocykla alebo už z výroby.</w:t>
      </w:r>
    </w:p>
    <w:p w14:paraId="4AC5A5DE" w14:textId="77777777" w:rsidR="009A0A6F" w:rsidRPr="00CC5FC7" w:rsidRDefault="009A0A6F" w:rsidP="009A0A6F">
      <w:pPr>
        <w:pStyle w:val="Deeperparagraph"/>
        <w:numPr>
          <w:ilvl w:val="2"/>
          <w:numId w:val="0"/>
        </w:numPr>
        <w:ind w:left="1080" w:hanging="360"/>
      </w:pPr>
      <w:r w:rsidRPr="56468661">
        <w:t>Všeobecne: všetky diely podliehajúce opotrebeniu a/alebo považované za súčasť údržby.</w:t>
      </w:r>
    </w:p>
    <w:p w14:paraId="1B79054D" w14:textId="77777777" w:rsidR="009A0A6F" w:rsidRPr="009A0A6F" w:rsidRDefault="009A0A6F" w:rsidP="009A0A6F">
      <w:pPr>
        <w:pStyle w:val="ListParagraph"/>
        <w:numPr>
          <w:ilvl w:val="1"/>
          <w:numId w:val="0"/>
        </w:numPr>
        <w:spacing w:before="120" w:after="120" w:line="360" w:lineRule="auto"/>
        <w:ind w:left="567" w:hanging="567"/>
        <w:mirrorIndents/>
        <w:jc w:val="both"/>
        <w:outlineLvl w:val="2"/>
        <w:rPr>
          <w:lang w:val="sk-SK"/>
        </w:rPr>
      </w:pPr>
      <w:r w:rsidRPr="009A0A6F">
        <w:rPr>
          <w:lang w:val="sk-SK"/>
        </w:rPr>
        <w:t>Servisom aktivovaná predĺžená záruka je platná v nasledujúcich krajinách a je možné ju uplatniť bez ohľadu na to, v ktorej z uvedených krajín bol motocykel pôvodne zakúpený:</w:t>
      </w:r>
    </w:p>
    <w:p w14:paraId="0CCD11AC" w14:textId="77777777" w:rsidR="009A0A6F" w:rsidRDefault="009A0A6F" w:rsidP="009A0A6F">
      <w:pPr>
        <w:spacing w:line="360" w:lineRule="auto"/>
        <w:ind w:left="426"/>
      </w:pPr>
      <w:r w:rsidRPr="692CC080">
        <w:t>• Veľká Británia</w:t>
      </w:r>
      <w:r>
        <w:br/>
      </w:r>
      <w:r w:rsidRPr="692CC080">
        <w:t>• Nemecko</w:t>
      </w:r>
      <w:r>
        <w:br/>
      </w:r>
      <w:r w:rsidRPr="692CC080">
        <w:t>• Francúzsko</w:t>
      </w:r>
      <w:r>
        <w:br/>
      </w:r>
      <w:r w:rsidRPr="692CC080">
        <w:t>• Taliansko</w:t>
      </w:r>
      <w:r>
        <w:br/>
      </w:r>
      <w:r w:rsidRPr="692CC080">
        <w:t>• Španielsko</w:t>
      </w:r>
      <w:r>
        <w:br/>
      </w:r>
      <w:r w:rsidRPr="692CC080">
        <w:t>• Belgicko</w:t>
      </w:r>
      <w:r>
        <w:br/>
      </w:r>
      <w:r w:rsidRPr="692CC080">
        <w:t>• Luxembursko</w:t>
      </w:r>
      <w:r>
        <w:br/>
      </w:r>
      <w:r w:rsidRPr="692CC080">
        <w:t>• Poľsko</w:t>
      </w:r>
      <w:r>
        <w:br/>
      </w:r>
      <w:r w:rsidRPr="692CC080">
        <w:t>• Česká republika</w:t>
      </w:r>
      <w:r>
        <w:br/>
      </w:r>
      <w:r w:rsidRPr="692CC080">
        <w:t>• Maďarsko</w:t>
      </w:r>
      <w:r>
        <w:br/>
      </w:r>
      <w:r w:rsidRPr="692CC080">
        <w:t>• Holandsko</w:t>
      </w:r>
      <w:r>
        <w:br/>
      </w:r>
      <w:r w:rsidRPr="692CC080">
        <w:lastRenderedPageBreak/>
        <w:t>• Slovensko</w:t>
      </w:r>
      <w:r>
        <w:br/>
      </w:r>
      <w:r w:rsidRPr="692CC080">
        <w:t>• Švajčiarsko</w:t>
      </w:r>
      <w:r>
        <w:br/>
      </w:r>
      <w:r w:rsidRPr="692CC080">
        <w:t>• Rakúsko</w:t>
      </w:r>
      <w:r>
        <w:br/>
      </w:r>
      <w:r w:rsidRPr="692CC080">
        <w:t>• Portugalsko</w:t>
      </w:r>
    </w:p>
    <w:p w14:paraId="322BBDE4" w14:textId="77777777" w:rsidR="009A0A6F" w:rsidRDefault="009A0A6F" w:rsidP="009A0A6F">
      <w:pPr>
        <w:spacing w:line="360" w:lineRule="auto"/>
        <w:ind w:left="426"/>
      </w:pPr>
    </w:p>
    <w:p w14:paraId="53209577" w14:textId="77777777" w:rsidR="009A0A6F" w:rsidRDefault="009A0A6F" w:rsidP="009A0A6F">
      <w:pPr>
        <w:spacing w:line="360" w:lineRule="auto"/>
        <w:ind w:left="426"/>
      </w:pPr>
    </w:p>
    <w:p w14:paraId="2412D491" w14:textId="77777777" w:rsidR="009A0A6F" w:rsidRDefault="009A0A6F" w:rsidP="009A0A6F">
      <w:pPr>
        <w:spacing w:line="360" w:lineRule="auto"/>
        <w:rPr>
          <w:b/>
          <w:bCs/>
          <w:u w:val="single"/>
        </w:rPr>
      </w:pPr>
      <w:r w:rsidRPr="692CC080">
        <w:rPr>
          <w:b/>
          <w:bCs/>
          <w:u w:val="single"/>
        </w:rPr>
        <w:t>Zodpovednosťou vlastníka je:</w:t>
      </w:r>
    </w:p>
    <w:p w14:paraId="01718C75" w14:textId="77777777" w:rsidR="009A0A6F" w:rsidRPr="005257A1" w:rsidRDefault="009A0A6F" w:rsidP="009A0A6F">
      <w:pPr>
        <w:spacing w:line="360" w:lineRule="auto"/>
        <w:rPr>
          <w:u w:val="single"/>
        </w:rPr>
      </w:pPr>
    </w:p>
    <w:p w14:paraId="7C260671" w14:textId="77777777" w:rsidR="009A0A6F" w:rsidRDefault="009A0A6F" w:rsidP="009A0A6F">
      <w:pPr>
        <w:spacing w:line="360" w:lineRule="auto"/>
      </w:pPr>
      <w:r w:rsidRPr="692CC080">
        <w:t>Zabezpečiť, aby Váš motocykel bol servisovaný a kontrolovaný v súlade so špecifikáciami uvedenými v užívateľskej príručke motocykla (návode na obsluhu) alebo podľa plánu údržby dostupného v príručke.</w:t>
      </w:r>
    </w:p>
    <w:p w14:paraId="59D2281E" w14:textId="77777777" w:rsidR="009A0A6F" w:rsidRPr="005257A1" w:rsidRDefault="009A0A6F" w:rsidP="009A0A6F">
      <w:pPr>
        <w:spacing w:line="360" w:lineRule="auto"/>
      </w:pPr>
    </w:p>
    <w:p w14:paraId="6E59F112" w14:textId="77777777" w:rsidR="009A0A6F" w:rsidRDefault="009A0A6F" w:rsidP="009A0A6F">
      <w:pPr>
        <w:spacing w:line="360" w:lineRule="auto"/>
      </w:pPr>
      <w:r w:rsidRPr="692CC080">
        <w:t>Okamžite informovať autorizovaného predajcu Honda o akejkoľvek chybe na motocykli, ktorá by mohla viesť k uplatneniu záruky.</w:t>
      </w:r>
    </w:p>
    <w:p w14:paraId="0B822824" w14:textId="77777777" w:rsidR="009A0A6F" w:rsidRDefault="009A0A6F" w:rsidP="009A0A6F">
      <w:pPr>
        <w:spacing w:line="360" w:lineRule="auto"/>
      </w:pPr>
    </w:p>
    <w:p w14:paraId="1B4AB66F" w14:textId="77777777" w:rsidR="009A0A6F" w:rsidRDefault="009A0A6F" w:rsidP="009A0A6F">
      <w:pPr>
        <w:spacing w:line="360" w:lineRule="auto"/>
      </w:pPr>
      <w:r w:rsidRPr="692CC080">
        <w:t>Pri návšteve autorizovaného predajcu Honda priniesť so sebou záručný list.</w:t>
      </w:r>
    </w:p>
    <w:p w14:paraId="1C45937F" w14:textId="77777777" w:rsidR="009A0A6F" w:rsidRDefault="009A0A6F" w:rsidP="009A0A6F">
      <w:pPr>
        <w:spacing w:line="360" w:lineRule="auto"/>
        <w:ind w:left="720"/>
      </w:pPr>
    </w:p>
    <w:p w14:paraId="34383A71" w14:textId="77777777" w:rsidR="009A0A6F" w:rsidRDefault="009A0A6F" w:rsidP="009A0A6F">
      <w:pPr>
        <w:spacing w:line="360" w:lineRule="auto"/>
        <w:ind w:left="720"/>
      </w:pPr>
    </w:p>
    <w:p w14:paraId="6C26C994" w14:textId="77777777" w:rsidR="009A0A6F" w:rsidRDefault="009A0A6F" w:rsidP="009A0A6F">
      <w:pPr>
        <w:spacing w:line="360" w:lineRule="auto"/>
        <w:ind w:left="720"/>
      </w:pPr>
    </w:p>
    <w:p w14:paraId="27102C60" w14:textId="77777777" w:rsidR="009A0A6F" w:rsidRPr="005257A1" w:rsidRDefault="009A0A6F" w:rsidP="009A0A6F">
      <w:pPr>
        <w:spacing w:line="360" w:lineRule="auto"/>
        <w:ind w:left="720"/>
      </w:pPr>
    </w:p>
    <w:p w14:paraId="32833139" w14:textId="77777777" w:rsidR="009A0A6F" w:rsidRPr="005257A1" w:rsidRDefault="009A0A6F" w:rsidP="009A0A6F">
      <w:pPr>
        <w:spacing w:line="360" w:lineRule="auto"/>
        <w:rPr>
          <w:u w:val="single"/>
        </w:rPr>
      </w:pPr>
      <w:r w:rsidRPr="692CC080">
        <w:rPr>
          <w:b/>
          <w:bCs/>
          <w:u w:val="single"/>
        </w:rPr>
        <w:t>Povinnosť autorizovaného predajcu Honda je:</w:t>
      </w:r>
    </w:p>
    <w:p w14:paraId="6E042315" w14:textId="77777777" w:rsidR="009A0A6F" w:rsidRDefault="009A0A6F" w:rsidP="009A0A6F">
      <w:pPr>
        <w:spacing w:line="360" w:lineRule="auto"/>
      </w:pPr>
      <w:r w:rsidRPr="692CC080">
        <w:t>Zaznamenať plánovanú údržbu do digitálneho servisného záznamu s cieľom aktivovať predĺženú záruku (servisom aktivovanú predĺženú záruku) a informovať zákazníka o tejto predĺženej záruke.</w:t>
      </w:r>
    </w:p>
    <w:p w14:paraId="2FC2D27E" w14:textId="77777777" w:rsidR="009A0A6F" w:rsidRPr="005257A1" w:rsidRDefault="009A0A6F" w:rsidP="009A0A6F">
      <w:pPr>
        <w:spacing w:line="360" w:lineRule="auto"/>
      </w:pPr>
    </w:p>
    <w:p w14:paraId="6011FAF9" w14:textId="77777777" w:rsidR="009A0A6F" w:rsidRDefault="009A0A6F" w:rsidP="009A0A6F">
      <w:pPr>
        <w:spacing w:line="360" w:lineRule="auto"/>
      </w:pPr>
      <w:r w:rsidRPr="692CC080">
        <w:t>Podrobne vysvetliť vlastníkovi jeho povinnosti týkajúce sa údržby a servisu motocykla.</w:t>
      </w:r>
    </w:p>
    <w:p w14:paraId="2CD5FC13" w14:textId="77777777" w:rsidR="009A0A6F" w:rsidRPr="005257A1" w:rsidRDefault="009A0A6F" w:rsidP="009A0A6F">
      <w:pPr>
        <w:spacing w:line="360" w:lineRule="auto"/>
      </w:pPr>
    </w:p>
    <w:p w14:paraId="283421AC" w14:textId="77777777" w:rsidR="009A0A6F" w:rsidRDefault="009A0A6F" w:rsidP="009A0A6F">
      <w:pPr>
        <w:spacing w:line="360" w:lineRule="auto"/>
      </w:pPr>
      <w:r w:rsidRPr="692CC080">
        <w:t>Zabezpečiť, aby všetky servisné úkony alebo opravy – bez ohľadu na to či sú vykonávané v rámci záruky alebo nie – boli vykonané v súlade s normami stanovenými spoločnosťou Honda.</w:t>
      </w:r>
    </w:p>
    <w:p w14:paraId="72FC82DF" w14:textId="77777777" w:rsidR="009A0A6F" w:rsidRPr="005257A1" w:rsidRDefault="009A0A6F" w:rsidP="009A0A6F">
      <w:pPr>
        <w:spacing w:line="360" w:lineRule="auto"/>
      </w:pPr>
    </w:p>
    <w:p w14:paraId="5C35987A" w14:textId="77777777" w:rsidR="009A0A6F" w:rsidRDefault="009A0A6F" w:rsidP="009A0A6F">
      <w:pPr>
        <w:spacing w:line="360" w:lineRule="auto"/>
      </w:pPr>
      <w:r w:rsidRPr="692CC080">
        <w:t>Vykonať všetky potrebné opravy týkajúce sa preukázanej chyby pokrytej servisom aktivovanou predĺženou zárukou voči zákazníkovi bezplatne.</w:t>
      </w:r>
    </w:p>
    <w:p w14:paraId="0F2756B7" w14:textId="77777777" w:rsidR="009A0A6F" w:rsidRDefault="009A0A6F" w:rsidP="009A0A6F">
      <w:pPr>
        <w:spacing w:line="360" w:lineRule="auto"/>
      </w:pPr>
    </w:p>
    <w:p w14:paraId="73366E83" w14:textId="77777777" w:rsidR="009A0A6F" w:rsidRPr="00AE6585" w:rsidRDefault="009A0A6F" w:rsidP="009A0A6F">
      <w:pPr>
        <w:spacing w:line="360" w:lineRule="auto"/>
      </w:pPr>
      <w:r w:rsidRPr="005832A6">
        <w:t>Záručná oprava bude vykonaná okamžite, najneskôr však do 30 dní odo dňa sprístupnenia vozidla autorizovanému predajcovi Honda alebo autorizovanému servisnému stredisku Honda. Ak je potrebné doviezť náhradné diely zo zahraničia, doba opravy sa môže predĺžiť na 180 dní odo dňa sprístupnenia vozidla autorizovanému predajcovi Honda alebo autorizovanému servisnému stredisku Honda.</w:t>
      </w:r>
    </w:p>
    <w:p w14:paraId="0A3A9519" w14:textId="77777777" w:rsidR="009A0A6F" w:rsidRPr="005257A1" w:rsidRDefault="009A0A6F" w:rsidP="009A0A6F">
      <w:pPr>
        <w:spacing w:line="360" w:lineRule="auto"/>
      </w:pPr>
    </w:p>
    <w:p w14:paraId="04769D27" w14:textId="77777777" w:rsidR="009A0A6F" w:rsidRPr="005257A1" w:rsidRDefault="009A0A6F" w:rsidP="009A0A6F">
      <w:pPr>
        <w:spacing w:line="360" w:lineRule="auto"/>
        <w:rPr>
          <w:u w:val="single"/>
        </w:rPr>
      </w:pPr>
      <w:r w:rsidRPr="692CC080">
        <w:rPr>
          <w:b/>
          <w:bCs/>
          <w:u w:val="single"/>
        </w:rPr>
        <w:lastRenderedPageBreak/>
        <w:t>Ako požiadať o záručnú opravu</w:t>
      </w:r>
      <w:r w:rsidRPr="692CC080">
        <w:rPr>
          <w:u w:val="single"/>
        </w:rPr>
        <w:t xml:space="preserve"> </w:t>
      </w:r>
    </w:p>
    <w:p w14:paraId="55779611" w14:textId="77777777" w:rsidR="009A0A6F" w:rsidRDefault="009A0A6F" w:rsidP="009A0A6F">
      <w:pPr>
        <w:spacing w:line="360" w:lineRule="auto"/>
      </w:pPr>
    </w:p>
    <w:p w14:paraId="67C4ED27" w14:textId="77777777" w:rsidR="009A0A6F" w:rsidRPr="005257A1" w:rsidRDefault="009A0A6F" w:rsidP="009A0A6F">
      <w:pPr>
        <w:spacing w:line="360" w:lineRule="auto"/>
      </w:pPr>
      <w:r w:rsidRPr="692CC080">
        <w:t>Ak chcete požiadať o záručnú opravu, privezte svoj motocykel na kontrolu k autorizovanému predajcovi Honda na prehliadku.</w:t>
      </w:r>
    </w:p>
    <w:p w14:paraId="08CAEF5A" w14:textId="77777777" w:rsidR="009A0A6F" w:rsidRPr="00CC5FC7" w:rsidRDefault="009A0A6F" w:rsidP="009A0A6F">
      <w:pPr>
        <w:spacing w:line="360" w:lineRule="auto"/>
      </w:pPr>
    </w:p>
    <w:p w14:paraId="6C4CFEAC" w14:textId="77777777" w:rsidR="009A0A6F" w:rsidRPr="00CC5FC7" w:rsidRDefault="009A0A6F" w:rsidP="009A0A6F">
      <w:pPr>
        <w:spacing w:line="360" w:lineRule="auto"/>
      </w:pPr>
    </w:p>
    <w:p w14:paraId="60D3086A" w14:textId="77777777" w:rsidR="009A0A6F" w:rsidRDefault="009A0A6F" w:rsidP="009A0A6F">
      <w:pPr>
        <w:pStyle w:val="BodyText"/>
        <w:spacing w:before="267"/>
        <w:ind w:left="121"/>
      </w:pPr>
    </w:p>
    <w:p w14:paraId="1AF6B522" w14:textId="77777777" w:rsidR="009A0A6F" w:rsidRDefault="009A0A6F" w:rsidP="009A0A6F">
      <w:pPr>
        <w:pStyle w:val="BodyText"/>
        <w:spacing w:before="267"/>
        <w:ind w:left="121"/>
      </w:pPr>
    </w:p>
    <w:p w14:paraId="03F441EE" w14:textId="77777777" w:rsidR="008E2408" w:rsidRDefault="008E2408"/>
    <w:sectPr w:rsidR="008E2408" w:rsidSect="009A0A6F">
      <w:pgSz w:w="11910" w:h="16840"/>
      <w:pgMar w:top="1380" w:right="1020" w:bottom="860" w:left="1320" w:header="0" w:footer="6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6F"/>
    <w:rsid w:val="000F1878"/>
    <w:rsid w:val="00286118"/>
    <w:rsid w:val="008E2408"/>
    <w:rsid w:val="009227CE"/>
    <w:rsid w:val="009A0A6F"/>
    <w:rsid w:val="00CE4358"/>
    <w:rsid w:val="00EE2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DF40"/>
  <w15:chartTrackingRefBased/>
  <w15:docId w15:val="{B9268591-097A-4ED9-ABD8-172CAAC4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A6F"/>
    <w:pPr>
      <w:widowControl w:val="0"/>
      <w:autoSpaceDE w:val="0"/>
      <w:autoSpaceDN w:val="0"/>
      <w:spacing w:after="0" w:line="240" w:lineRule="auto"/>
    </w:pPr>
    <w:rPr>
      <w:rFonts w:ascii="Calibri" w:eastAsia="Calibri" w:hAnsi="Calibri" w:cs="Calibri"/>
      <w:kern w:val="0"/>
      <w:lang w:val="sk-SK"/>
      <w14:ligatures w14:val="none"/>
    </w:rPr>
  </w:style>
  <w:style w:type="paragraph" w:styleId="Heading1">
    <w:name w:val="heading 1"/>
    <w:basedOn w:val="Normal"/>
    <w:next w:val="Normal"/>
    <w:link w:val="Heading1Char"/>
    <w:qFormat/>
    <w:rsid w:val="009A0A6F"/>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9A0A6F"/>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9A0A6F"/>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9A0A6F"/>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9A0A6F"/>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9A0A6F"/>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9A0A6F"/>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9A0A6F"/>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9A0A6F"/>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A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A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A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A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A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A6F"/>
    <w:rPr>
      <w:rFonts w:eastAsiaTheme="majorEastAsia" w:cstheme="majorBidi"/>
      <w:color w:val="272727" w:themeColor="text1" w:themeTint="D8"/>
    </w:rPr>
  </w:style>
  <w:style w:type="paragraph" w:styleId="Title">
    <w:name w:val="Title"/>
    <w:basedOn w:val="Normal"/>
    <w:next w:val="Normal"/>
    <w:link w:val="TitleChar"/>
    <w:uiPriority w:val="10"/>
    <w:qFormat/>
    <w:rsid w:val="009A0A6F"/>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9A0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A6F"/>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9A0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A6F"/>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9A0A6F"/>
    <w:rPr>
      <w:i/>
      <w:iCs/>
      <w:color w:val="404040" w:themeColor="text1" w:themeTint="BF"/>
    </w:rPr>
  </w:style>
  <w:style w:type="paragraph" w:styleId="ListParagraph">
    <w:name w:val="List Paragraph"/>
    <w:basedOn w:val="Normal"/>
    <w:link w:val="ListParagraphChar"/>
    <w:uiPriority w:val="34"/>
    <w:qFormat/>
    <w:rsid w:val="009A0A6F"/>
    <w:pPr>
      <w:widowControl/>
      <w:autoSpaceDE/>
      <w:autoSpaceDN/>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9A0A6F"/>
    <w:rPr>
      <w:i/>
      <w:iCs/>
      <w:color w:val="0F4761" w:themeColor="accent1" w:themeShade="BF"/>
    </w:rPr>
  </w:style>
  <w:style w:type="paragraph" w:styleId="IntenseQuote">
    <w:name w:val="Intense Quote"/>
    <w:basedOn w:val="Normal"/>
    <w:next w:val="Normal"/>
    <w:link w:val="IntenseQuoteChar"/>
    <w:uiPriority w:val="30"/>
    <w:qFormat/>
    <w:rsid w:val="009A0A6F"/>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9A0A6F"/>
    <w:rPr>
      <w:i/>
      <w:iCs/>
      <w:color w:val="0F4761" w:themeColor="accent1" w:themeShade="BF"/>
    </w:rPr>
  </w:style>
  <w:style w:type="character" w:styleId="IntenseReference">
    <w:name w:val="Intense Reference"/>
    <w:basedOn w:val="DefaultParagraphFont"/>
    <w:uiPriority w:val="32"/>
    <w:qFormat/>
    <w:rsid w:val="009A0A6F"/>
    <w:rPr>
      <w:b/>
      <w:bCs/>
      <w:smallCaps/>
      <w:color w:val="0F4761" w:themeColor="accent1" w:themeShade="BF"/>
      <w:spacing w:val="5"/>
    </w:rPr>
  </w:style>
  <w:style w:type="paragraph" w:styleId="BodyText">
    <w:name w:val="Body Text"/>
    <w:basedOn w:val="Normal"/>
    <w:link w:val="BodyTextChar"/>
    <w:uiPriority w:val="1"/>
    <w:qFormat/>
    <w:rsid w:val="009A0A6F"/>
  </w:style>
  <w:style w:type="character" w:customStyle="1" w:styleId="BodyTextChar">
    <w:name w:val="Body Text Char"/>
    <w:basedOn w:val="DefaultParagraphFont"/>
    <w:link w:val="BodyText"/>
    <w:uiPriority w:val="1"/>
    <w:rsid w:val="009A0A6F"/>
    <w:rPr>
      <w:rFonts w:ascii="Calibri" w:eastAsia="Calibri" w:hAnsi="Calibri" w:cs="Calibri"/>
      <w:kern w:val="0"/>
      <w:lang w:val="sk-SK"/>
      <w14:ligatures w14:val="none"/>
    </w:rPr>
  </w:style>
  <w:style w:type="character" w:customStyle="1" w:styleId="ListParagraphChar">
    <w:name w:val="List Paragraph Char"/>
    <w:basedOn w:val="DefaultParagraphFont"/>
    <w:link w:val="ListParagraph"/>
    <w:uiPriority w:val="34"/>
    <w:rsid w:val="009A0A6F"/>
  </w:style>
  <w:style w:type="paragraph" w:customStyle="1" w:styleId="Deeperparagraph">
    <w:name w:val="Deeper paragraph"/>
    <w:basedOn w:val="ListParagraph"/>
    <w:link w:val="DeeperparagraphChar"/>
    <w:qFormat/>
    <w:rsid w:val="009A0A6F"/>
    <w:pPr>
      <w:widowControl w:val="0"/>
      <w:spacing w:before="120" w:after="120" w:line="360" w:lineRule="auto"/>
      <w:ind w:left="1080" w:hanging="360"/>
      <w:contextualSpacing w:val="0"/>
      <w:jc w:val="both"/>
      <w:outlineLvl w:val="2"/>
    </w:pPr>
    <w:rPr>
      <w:rFonts w:ascii="Arial" w:eastAsia="Calibri" w:hAnsi="Arial" w:cs="Arial"/>
      <w:kern w:val="0"/>
      <w:sz w:val="21"/>
      <w:szCs w:val="21"/>
      <w:lang w:val="sk-SK"/>
      <w14:ligatures w14:val="none"/>
    </w:rPr>
  </w:style>
  <w:style w:type="character" w:customStyle="1" w:styleId="DeeperparagraphChar">
    <w:name w:val="Deeper paragraph Char"/>
    <w:basedOn w:val="ListParagraphChar"/>
    <w:link w:val="Deeperparagraph"/>
    <w:rsid w:val="009A0A6F"/>
    <w:rPr>
      <w:rFonts w:ascii="Arial" w:eastAsia="Calibri" w:hAnsi="Arial" w:cs="Arial"/>
      <w:kern w:val="0"/>
      <w:sz w:val="21"/>
      <w:szCs w:val="21"/>
      <w:lang w:val="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</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x2MKiBmdWV79A9mweAccl1lE2THgtKyoulp9it7Y7c4=</DigestValue>
      </Reference>
      <Reference URI="#CLASSIFICATIONHISTORY">
        <DigestMethod Algorithm="http://www.w3.org/2001/04/xmlenc#sha256"/>
        <DigestValue>3bJUc1y+DI01N34FxwRNneivr7QonjHHaGgGFf7lnyo=</DigestValue>
      </Reference>
    </SignedInfo>
    <SignatureValue>G/LAe+37TpP04psOBWaySAd3NIh6hX831NaXisEcYcg6KN+n0yCMv7EhUne/RZzmX0REk1kXG/swGXENOySfog==</SignatureValue>
    <Object Id="CLASSIFICATIONHISTORY">
      <ArrayOfString xmlns:xsd="http://www.w3.org/2001/XMLSchema" xmlns:xsi="http://www.w3.org/2001/XMLSchema-instance" xmlns="">
        <string>7MepRsDSbf9Lq05aRRhsAtMksQM5xXfm</string>
      </ArrayOfString>
    </Object>
  </Signature>
</WrappedLabelHistory>
</file>

<file path=customXml/item2.xml><?xml version="1.0" encoding="utf-8"?>
<sisl xmlns:xsd="http://www.w3.org/2001/XMLSchema" xmlns:xsi="http://www.w3.org/2001/XMLSchema-instance" xmlns="http://www.boldonjames.com/2008/01/sie/internal/label" sislVersion="0" policy="f93675b6-01a2-4849-a189-2f6615772e13" origin="userSelected">
  <element uid="id_classification_nonbusiness" value=""/>
</sisl>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wazVOR1QwcDl2Q1Z4QzNTSWE0TUd4aUJiblY0a0ZrMjwvZWxoPjxjb25maWc+SE1FPC9jb25maWc+PHBvbD5ITUVQb2xpY3k8L3BvbD48c3VtbWFyeT5QdWJsaWM8L3N1bW1hcnk+PGFwcD5Xb3JkPC9hcHA+PFNpZ25hdHVyZVZhbGlkPmZhbHNlPC9TaWduYXR1cmVWYWxpZD48L0xhYmVsSW5mb1htbFBhcnQ+</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iEP6pyJPUfsBll5rg6qPqGx61TrAkkg9scz4jtsi/Ds=</DigestValue>
      </Reference>
      <Reference URI="#INFO">
        <DigestMethod Algorithm="http://www.w3.org/2001/04/xmlenc#sha256"/>
        <DigestValue>37YfQZmwUUhkiBk/kL8uc94slxXleM0l0BS1bxhz3Mk=</DigestValue>
      </Reference>
    </SignedInfo>
    <SignatureValue>M1mmjpGtFfYxtmbqLZgMbXExYzMYpU19lij1H6LLbcRDk1W4ppysUVl6RY3n42eh/LpTcvzZp2zcVcFsJVbrvA==</SignatureValue>
    <Object Id="INFO">
      <ArrayOfString xmlns:xsd="http://www.w3.org/2001/XMLSchema" xmlns:xsi="http://www.w3.org/2001/XMLSchema-instance" xmlns="">
        <string>0k5NGT0p9vCVxC3SIa4MGxiBbnV4kFk2</string>
      </ArrayOfString>
    </Object>
  </Signature>
</WrappedLabelInfo>
</file>

<file path=customXml/itemProps1.xml><?xml version="1.0" encoding="utf-8"?>
<ds:datastoreItem xmlns:ds="http://schemas.openxmlformats.org/officeDocument/2006/customXml" ds:itemID="{2BF279C5-0E96-4604-BF84-3EEB61A72326}">
  <ds:schemaRefs>
    <ds:schemaRef ds:uri="http://www.w3.org/2001/XMLSchema"/>
    <ds:schemaRef ds:uri="http://www.boldonjames.com/2016/02/Classifier/internal/wrappedLabelHistory"/>
    <ds:schemaRef ds:uri="http://www.w3.org/2000/09/xmldsig#"/>
    <ds:schemaRef ds:uri=""/>
  </ds:schemaRefs>
</ds:datastoreItem>
</file>

<file path=customXml/itemProps2.xml><?xml version="1.0" encoding="utf-8"?>
<ds:datastoreItem xmlns:ds="http://schemas.openxmlformats.org/officeDocument/2006/customXml" ds:itemID="{41FDE284-C4DD-4165-9720-27AD3D586AA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A79971C-6583-4A3A-B201-280BA945FC6A}">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1424</Words>
  <Characters>9186</Characters>
  <Application>Microsoft Office Word</Application>
  <DocSecurity>0</DocSecurity>
  <Lines>235</Lines>
  <Paragraphs>114</Paragraphs>
  <ScaleCrop>false</ScaleCrop>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Lindley</dc:creator>
  <cp:keywords/>
  <dc:description/>
  <cp:lastModifiedBy>Phoebe Lindley</cp:lastModifiedBy>
  <cp:revision>1</cp:revision>
  <dcterms:created xsi:type="dcterms:W3CDTF">2025-03-31T13:07:00Z</dcterms:created>
  <dcterms:modified xsi:type="dcterms:W3CDTF">2025-03-31T13:08:00Z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37c6eea6-324d-4368-a123-87b8e7d47ce7</vt:lpwstr>
  </property>
  <property fmtid="{D5CDD505-2E9C-101B-9397-08002B2CF9AE}" pid="3" name="bjClsUserRVM">
    <vt:lpwstr>[]</vt:lpwstr>
  </property>
  <property fmtid="{D5CDD505-2E9C-101B-9397-08002B2CF9AE}" pid="4" name="bjSaver">
    <vt:lpwstr>OEsAnpSlz20lXWKaW2FQMs8t2hwDf6s3</vt:lpwstr>
  </property>
  <property fmtid="{D5CDD505-2E9C-101B-9397-08002B2CF9AE}" pid="5"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Public</vt:lpwstr>
  </property>
  <property fmtid="{D5CDD505-2E9C-101B-9397-08002B2CF9AE}" pid="8" name="bjpmDocIH">
    <vt:lpwstr>+gl8NJsj5+z2DAacDUQmC44dXMOmLWIS</vt:lpwstr>
  </property>
  <property fmtid="{D5CDD505-2E9C-101B-9397-08002B2CF9AE}" pid="9" name="bjLabelHistoryID">
    <vt:lpwstr>{2BF279C5-0E96-4604-BF84-3EEB61A72326}</vt:lpwstr>
  </property>
</Properties>
</file>